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BE" w:rsidRPr="00742F46" w:rsidRDefault="00742F46" w:rsidP="004C3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F46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4C32BE" w:rsidRPr="00742F46">
        <w:rPr>
          <w:rFonts w:ascii="Times New Roman" w:hAnsi="Times New Roman" w:cs="Times New Roman"/>
          <w:b/>
          <w:sz w:val="24"/>
          <w:szCs w:val="24"/>
        </w:rPr>
        <w:t>ИНТЕЛЛЕКТУАЛЬНАЯ СОБСТВЕННОСТЬ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         Результатами интеллектуальной деятельности и приравненными к ним средствами индивидуализации, которым предоставляется правовая охрана</w:t>
      </w:r>
      <w:r w:rsidR="00742F46">
        <w:t>,</w:t>
      </w:r>
      <w:r>
        <w:t xml:space="preserve"> являются: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1) произведения науки, литературы и искусства;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2) программы для электронных вычислительных машин (программы для ЭВМ);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3) базы данных;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4) исполнения;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5) фонограммы;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6) сообщение в эфир или по </w:t>
      </w:r>
      <w:proofErr w:type="gramStart"/>
      <w:r>
        <w:t>кабелю</w:t>
      </w:r>
      <w:proofErr w:type="gramEnd"/>
      <w:r>
        <w:t xml:space="preserve"> радио- или телепередач (вещание организаций эфирного или кабельного вещания);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7) изобретения;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8) полезные модели;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9) промышленные образцы;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10) селекционные достижения;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11) топологии интегральных микросхем;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>12) секреты производства (ноу-хау);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13) фирменные наименования;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14) товарные знаки и знаки обслуживания;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15) наименования мест происхождения товаров;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16) коммерческие обозначения.</w:t>
      </w:r>
    </w:p>
    <w:p w:rsidR="004C32BE" w:rsidRDefault="00742F46" w:rsidP="004C32BE">
      <w:pPr>
        <w:pStyle w:val="a4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</w:t>
      </w:r>
      <w:r w:rsidR="004C32BE">
        <w:rPr>
          <w:b/>
        </w:rPr>
        <w:t>Интеллектуальная собственность</w:t>
      </w:r>
      <w:r w:rsidR="004C32BE">
        <w:t xml:space="preserve"> – это право на результаты интеллектуальной деятельности.  У этого права есть две </w:t>
      </w:r>
      <w:proofErr w:type="spellStart"/>
      <w:r w:rsidR="004C32BE">
        <w:t>подотрасли</w:t>
      </w:r>
      <w:proofErr w:type="spellEnd"/>
      <w:r w:rsidR="004C32BE">
        <w:t>: авторское право и промышленная собственность.</w:t>
      </w:r>
      <w:r w:rsidR="004C32BE">
        <w:rPr>
          <w:b/>
        </w:rPr>
        <w:t xml:space="preserve">    </w:t>
      </w:r>
    </w:p>
    <w:p w:rsidR="004C32BE" w:rsidRDefault="004C32BE" w:rsidP="004C32BE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Авторское право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распространяется, главным образом, на научные, художественные, изобразительные и т.п. произведения. Отличительная особенность авторского права, которая представляет интерес для инженеров и технологов состоит в том, что в этой области нет понятия приоритета </w:t>
      </w:r>
      <w:r>
        <w:rPr>
          <w:rFonts w:ascii="Times New Roman" w:hAnsi="Times New Roman" w:cs="Times New Roman"/>
          <w:b/>
          <w:sz w:val="24"/>
          <w:szCs w:val="24"/>
        </w:rPr>
        <w:t>- даты создания произведения, и нет понятия регистрации права.</w:t>
      </w:r>
      <w:r>
        <w:rPr>
          <w:rFonts w:ascii="Times New Roman" w:hAnsi="Times New Roman" w:cs="Times New Roman"/>
          <w:sz w:val="24"/>
          <w:szCs w:val="24"/>
        </w:rPr>
        <w:t xml:space="preserve"> Автор, например, Шолохов не должен доказывать, что это он написал «Тихий Дон». Кто не согласен пусть докажет обратное и автор понесёт наказание. Закон объясняет это тем, что п</w:t>
      </w:r>
      <w:r>
        <w:rPr>
          <w:rFonts w:ascii="Times New Roman" w:hAnsi="Times New Roman" w:cs="Times New Roman"/>
          <w:bCs/>
          <w:sz w:val="24"/>
          <w:szCs w:val="24"/>
        </w:rPr>
        <w:t>роизведение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материальный, а идеальный объект. Охрана, предоставляемая авторским правом, возникает лишь с того момента, как этот идеальный результат будет выражен в какой-либо материальной форме (обнародован).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сожалению, когда авторство становится предметом судебного разбирательства, автору бывает нечего показать в доказательство своего приоритета. Поэтому многие авторы до публикации депонируют свои произведения, или иным образом, «столбят» своё авторство.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Д.И.Менделеев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придумал 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17 февраля 1869 </w:t>
      </w:r>
      <w:r>
        <w:rPr>
          <w:rFonts w:ascii="Times New Roman" w:hAnsi="Times New Roman" w:cs="Times New Roman"/>
          <w:sz w:val="24"/>
          <w:szCs w:val="24"/>
        </w:rPr>
        <w:t xml:space="preserve">периодическую систему элементов, тотчас переписал текст на русском и французском языках в 200 экземплярах и отправил по почте своим коллегам в России и за рубежом. </w:t>
      </w:r>
    </w:p>
    <w:p w:rsidR="004C32BE" w:rsidRDefault="004C32BE" w:rsidP="004C3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Результаты интеллектуальной деятельности человека имеют нематериальный характер. </w:t>
      </w:r>
      <w:r>
        <w:rPr>
          <w:rFonts w:ascii="Times New Roman" w:hAnsi="Times New Roman" w:cs="Times New Roman"/>
          <w:b/>
          <w:sz w:val="24"/>
          <w:szCs w:val="24"/>
        </w:rPr>
        <w:t>Интеллектуальная собственность устанавливает правовой режим охраны нематериальных объектов.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Произведение </w:t>
      </w:r>
      <w:r>
        <w:rPr>
          <w:rFonts w:ascii="Times New Roman" w:hAnsi="Times New Roman" w:cs="Times New Roman"/>
          <w:sz w:val="24"/>
          <w:szCs w:val="24"/>
        </w:rPr>
        <w:t xml:space="preserve">не материальный, а идеальный объект. Однако охрана, предоставляемая авторским правом, возникает лишь с того момента, как этот идеальный результат будет выражен в какой-либо материальной форме (обнародован).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Материальный объект</w:t>
      </w:r>
      <w:r>
        <w:rPr>
          <w:rFonts w:ascii="Times New Roman" w:hAnsi="Times New Roman" w:cs="Times New Roman"/>
          <w:sz w:val="24"/>
          <w:szCs w:val="24"/>
        </w:rPr>
        <w:t xml:space="preserve">, в котором произведение выражено, </w:t>
      </w:r>
      <w:r>
        <w:rPr>
          <w:rFonts w:ascii="Times New Roman" w:hAnsi="Times New Roman" w:cs="Times New Roman"/>
          <w:b/>
          <w:bCs/>
          <w:sz w:val="24"/>
          <w:szCs w:val="24"/>
        </w:rPr>
        <w:t>охраняется правом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а не авторским правом. </w:t>
      </w:r>
      <w:r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это деятельность человеческого мозга, который способен создавать только идеальные образы, а не предметы материального мира. </w:t>
      </w:r>
    </w:p>
    <w:p w:rsidR="004C32BE" w:rsidRDefault="004C32BE" w:rsidP="004C3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Авторское право на программы для ЭВМ и БД </w:t>
      </w:r>
      <w:r>
        <w:rPr>
          <w:rFonts w:ascii="Times New Roman" w:hAnsi="Times New Roman" w:cs="Times New Roman"/>
          <w:sz w:val="24"/>
          <w:szCs w:val="24"/>
        </w:rPr>
        <w:t xml:space="preserve">не связано с правом собственности на их материальный носитель. Любая передача прав на материальный носитель не влечет за собой передачи каких-либо прав на программы для ЭВМ и БД.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Контрафактными</w:t>
      </w:r>
      <w:r>
        <w:rPr>
          <w:rFonts w:ascii="Times New Roman" w:hAnsi="Times New Roman" w:cs="Times New Roman"/>
          <w:sz w:val="24"/>
          <w:szCs w:val="24"/>
        </w:rPr>
        <w:t xml:space="preserve"> признаются экземпляры программы для ЭВМ или БД, изготовление или использование которых влечет за собой нарушение авторских прав. </w:t>
      </w:r>
      <w:bookmarkStart w:id="2" w:name="s19"/>
      <w:r>
        <w:rPr>
          <w:rFonts w:ascii="Times New Roman" w:hAnsi="Times New Roman" w:cs="Times New Roman"/>
          <w:sz w:val="24"/>
          <w:szCs w:val="24"/>
        </w:rPr>
        <w:t>На контрафактные экземпляры программы для ЭВМ или базы данных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может быть наложен арест в порядке, установленном законом.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для ЭВМ и базы данных </w:t>
      </w:r>
      <w:r>
        <w:rPr>
          <w:rFonts w:ascii="Times New Roman" w:hAnsi="Times New Roman" w:cs="Times New Roman"/>
          <w:sz w:val="24"/>
          <w:szCs w:val="24"/>
        </w:rPr>
        <w:t>получают правовую охрану после регистрации в Роспатенте.</w:t>
      </w:r>
    </w:p>
    <w:p w:rsidR="004C32BE" w:rsidRDefault="004C32BE" w:rsidP="004C32BE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/>
        </w:rPr>
        <w:t xml:space="preserve">         Смежные права – это права исполнителей. («</w:t>
      </w:r>
      <w:proofErr w:type="spellStart"/>
      <w:r>
        <w:rPr>
          <w:b/>
        </w:rPr>
        <w:t>Сердючка</w:t>
      </w:r>
      <w:proofErr w:type="spellEnd"/>
      <w:r>
        <w:rPr>
          <w:b/>
        </w:rPr>
        <w:t xml:space="preserve">», «Ласковый май»)     </w:t>
      </w:r>
    </w:p>
    <w:p w:rsidR="004C32BE" w:rsidRDefault="004C32BE" w:rsidP="004C32BE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Промышленная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– это другая ветвь интеллектуальной собственности. Она, главным образом, охватывает патентное право на изобретения, полезные модели, промышленные образцы и право на товарные знаки. Все эти объекты получают правовую защиту только после государственной экспертизы, которая длится более года, и регистрации в патентном ведомстве (Роспатенте). В отличие от авторского права объекты промышленной собственности имеют дату приоритета- это та дата, когда материалы заявки были сданы в Роспатент. Все объекты промышленной собственности классифицированы в соответствии с международными соглашениями.</w:t>
      </w:r>
    </w:p>
    <w:p w:rsidR="004C32BE" w:rsidRDefault="004C32BE" w:rsidP="004C32B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Международная патентная 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МПК)  охватывает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области знаний. Она разделена на восемь разделов: А - удовлетворение жизненных потребностей человека, В –химические процессы и т.д. Каждый раздел делится на классы,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А22 – скотобойное дело, каждый класс содержит подклассы, например А22С – переработка мяса, каждый подкласс разбит на группы, например А22С 5/00- смесители для мясного фарша. В </w:t>
      </w:r>
      <w:r>
        <w:rPr>
          <w:rFonts w:ascii="Times New Roman" w:hAnsi="Times New Roman" w:cs="Times New Roman"/>
          <w:sz w:val="24"/>
          <w:szCs w:val="24"/>
        </w:rPr>
        <w:lastRenderedPageBreak/>
        <w:t>любой патентной библиотеке мира все изобретения всех стран сгруппированы по МПК, поэтому проводить патентный поиск очень просто.</w:t>
      </w:r>
    </w:p>
    <w:p w:rsidR="004C32BE" w:rsidRDefault="004C32BE" w:rsidP="004C32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Международная классификация промышленных образцов</w:t>
      </w:r>
      <w:r>
        <w:rPr>
          <w:rFonts w:ascii="Times New Roman" w:hAnsi="Times New Roman" w:cs="Times New Roman"/>
          <w:sz w:val="24"/>
          <w:szCs w:val="24"/>
        </w:rPr>
        <w:t xml:space="preserve"> (МКПО) – Имеет две ступени деления: классы (99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и подклассы, например, класс 09 -тара, упаковки, подкласс 01-04 –мясные продукты. </w:t>
      </w:r>
    </w:p>
    <w:p w:rsidR="004C32BE" w:rsidRDefault="004C32BE" w:rsidP="004C32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Международная классификация товаров и услуг для регистрации товарных знаков</w:t>
      </w:r>
      <w:r>
        <w:rPr>
          <w:rFonts w:ascii="Times New Roman" w:hAnsi="Times New Roman" w:cs="Times New Roman"/>
          <w:sz w:val="24"/>
          <w:szCs w:val="24"/>
        </w:rPr>
        <w:t xml:space="preserve"> (МКТУ) – содержит более 20 тыс. наименований товаров и услуг, разбитых по 45 классам. Каждый товарный знак относится к одному, нескольким или всем классам. Мясная продукция относится к. 29, пельмени, вареники к 30, а детское питание к 5 классу.</w:t>
      </w:r>
    </w:p>
    <w:p w:rsidR="004C32BE" w:rsidRDefault="004C32BE" w:rsidP="004C32BE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Изобретение</w:t>
      </w:r>
      <w:r>
        <w:rPr>
          <w:rFonts w:ascii="Times New Roman" w:hAnsi="Times New Roman" w:cs="Times New Roman"/>
          <w:sz w:val="24"/>
          <w:szCs w:val="24"/>
        </w:rPr>
        <w:t xml:space="preserve"> не имеет определения. Его критериями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два однозначных признака: мировая новизны и практическая применимость и один недостаточно определённый – изобретение не должно являться явным для специалиста в этой области техники. Для доказательства того, что изобретение удовлетворяет этому критерию нужно доказать, что предложенное техническое решение имеет существенные отличия от прототипа - наиболее близкого к нему, опубликованного технического решения.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252" w:rsidRPr="00E81252">
        <w:rPr>
          <w:rFonts w:ascii="Times New Roman" w:hAnsi="Times New Roman" w:cs="Times New Roman"/>
          <w:b/>
          <w:i/>
          <w:sz w:val="24"/>
          <w:szCs w:val="24"/>
        </w:rPr>
        <w:t xml:space="preserve">Если доказать обратное, то патент может быть легко аннулирован в суде.  </w:t>
      </w:r>
      <w:r>
        <w:rPr>
          <w:rFonts w:ascii="Times New Roman" w:hAnsi="Times New Roman" w:cs="Times New Roman"/>
          <w:sz w:val="24"/>
          <w:szCs w:val="24"/>
        </w:rPr>
        <w:t>Объект изобретения может быть продукт или способ. Продуктом является, например, устройство, вещество, химические соединения, а способ – это технологический процесс. Суть изобретения сводится всего-навсего к модернизации известного технического решения, с целью получить положительный технический результат. Для этого к известным существенным признакам прототипа добавляется один или несколько отличительных признаков. Патент на изобретение действует 20 лет при условии уплаты ежегодной пошлины.</w:t>
      </w:r>
    </w:p>
    <w:p w:rsidR="004C32BE" w:rsidRPr="00E81252" w:rsidRDefault="004C32BE" w:rsidP="004C32BE">
      <w:pPr>
        <w:pStyle w:val="2"/>
        <w:spacing w:after="0" w:line="360" w:lineRule="auto"/>
        <w:jc w:val="both"/>
        <w:rPr>
          <w:b/>
          <w:i/>
        </w:rPr>
      </w:pPr>
      <w:r>
        <w:rPr>
          <w:b/>
        </w:rPr>
        <w:t xml:space="preserve">         Полезная модель</w:t>
      </w:r>
      <w:r>
        <w:t xml:space="preserve"> – это техническое решение устройства, не отвечающее по своему уровню требованиям, предъявляемым к изобретениям. Условиями предоставления правовой охраны полезным моделям являются: новизна; промышленная применимость. Фактически экспертиза, которая длится 3-4, а не 12 месяцев (как в случае изобретения). Патент действует 10 лет при условии уплаты ежегодной пошлины. </w:t>
      </w:r>
      <w:r w:rsidR="00E81252" w:rsidRPr="00E81252">
        <w:rPr>
          <w:b/>
          <w:i/>
        </w:rPr>
        <w:t>Полезную модель очень сложно аннулировать в суде. Фактически для этого надо найти описание точно такого же технического решения.</w:t>
      </w:r>
    </w:p>
    <w:p w:rsidR="004C32BE" w:rsidRDefault="004C32BE" w:rsidP="004C32BE">
      <w:pPr>
        <w:pStyle w:val="2"/>
        <w:spacing w:after="0" w:line="360" w:lineRule="auto"/>
        <w:jc w:val="both"/>
      </w:pPr>
      <w:r>
        <w:t xml:space="preserve">         </w:t>
      </w:r>
      <w:hyperlink r:id="rId4" w:anchor="промышленная собственность" w:history="1">
        <w:r>
          <w:rPr>
            <w:rStyle w:val="a3"/>
            <w:b/>
          </w:rPr>
          <w:t>Промышленный образец</w:t>
        </w:r>
      </w:hyperlink>
      <w:r>
        <w:t xml:space="preserve"> - это полученное в результате художественно - конструкторской деятельности решение внешнего вида какого-либо изделия. </w:t>
      </w:r>
      <w:proofErr w:type="spellStart"/>
      <w:r>
        <w:t>Промобразцы</w:t>
      </w:r>
      <w:proofErr w:type="spellEnd"/>
      <w:r>
        <w:rPr>
          <w:i/>
        </w:rPr>
        <w:t xml:space="preserve"> </w:t>
      </w:r>
      <w:r>
        <w:t>бывают</w:t>
      </w:r>
      <w:r>
        <w:rPr>
          <w:i/>
        </w:rPr>
        <w:t xml:space="preserve"> </w:t>
      </w:r>
      <w:r>
        <w:t xml:space="preserve">объемные, например, шестигранный батон колбасы, плоскостные, например, этикетка и комбинированные. Оценка новизны промышленного образца заключается в выявлении источника информации ставшего общедоступным, до даты приоритета, в </w:t>
      </w:r>
      <w:r>
        <w:lastRenderedPageBreak/>
        <w:t xml:space="preserve">котором могут содержаться сведения, раскрывающие совокупность существенных признаков, идентичных существенным признакам промышленного образца. Промышленные образцы в мясной промышленности это, как правило, защищенные патентами дизайны упаковок и этикетки. Именно по ним потребитель узнаёт ту или иную продукцию в магазине. Патент на промышленный образец действует 15 лет при условии уплаты ежегодной пошлины. 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        </w:t>
      </w:r>
      <w:r>
        <w:rPr>
          <w:b/>
        </w:rPr>
        <w:t xml:space="preserve">Товарный знак </w:t>
      </w:r>
      <w:r>
        <w:t>- обозначение, служащее для индивидуализации товаров и услуг юридических или физических лиц, осуществляющих предпринимательскую деятельность. Товарные знаки могут быть словесные, изобразительные и комбинированные. Не подлежат регистрация в качестве товарных знаков: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- обозначения тождественные или сходные до степени смешения с товарными знаками и заявленными обозначениями, имеющими более ранний приоритет, </w:t>
      </w:r>
      <w:proofErr w:type="gramStart"/>
      <w:r>
        <w:t>например</w:t>
      </w:r>
      <w:proofErr w:type="gramEnd"/>
      <w:r>
        <w:t xml:space="preserve"> если кто-то зарегистрировал товарный знак по классу 30 –пельмени «Столичный», то иному заявителю не выдадут свидетельство на товарный знак «Столичные», в отношении товаров 30-го класса.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- обозначения характеризующие товары, в том числе указывающие на их вид, качество, количество, свойство, назначение, ценность, а также время, место, способ производства или сбыта, например, пельмени «Крупные», вареники «Знатные», колбаса «Пикантная», сосиски «Венские» и т.д.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- обозначение вошедшие во всеобщее употребление для обозначения товаров определенного вида, например, колбаса «Отдельная», «Любительская», «Докторская» и т.д. 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- изображения товаров, заявляемые на регистрацию в качестве товарных знаков для обозначения этих товаров, например, нельзя зарегистрировать пельмень, в качестве товарного знака по </w:t>
      </w:r>
      <w:proofErr w:type="spellStart"/>
      <w:r>
        <w:t>кл</w:t>
      </w:r>
      <w:proofErr w:type="spellEnd"/>
      <w:r>
        <w:t>. 30-пелмени.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- общепринятые наименования товаров, заявляемые для обозначения этих товаров, например, слово «колбаса», общепринятые сокращенные наименования организаций, например, ВНИИ, ЗАО, общепринятые символы и термины, символизирующие отрасль хозяйства или область деятельности, например, </w:t>
      </w:r>
      <w:proofErr w:type="spellStart"/>
      <w:r>
        <w:t>мясопереработка</w:t>
      </w:r>
      <w:proofErr w:type="spellEnd"/>
      <w:r>
        <w:t>, сельхозпродукция и т.п.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- обозначения, порождающие в сознании потребителя представление об определенном качестве товара, о его изготовителе или месте происхождения, которое не соответствует действительности, например, колбаса «Эверест» - так как на этой горе пока ещё мясокомбинаты не построили.</w:t>
      </w:r>
    </w:p>
    <w:p w:rsidR="004C32BE" w:rsidRDefault="004C32BE" w:rsidP="004C32BE">
      <w:pPr>
        <w:pStyle w:val="2"/>
        <w:spacing w:after="0" w:line="360" w:lineRule="auto"/>
        <w:jc w:val="both"/>
      </w:pPr>
      <w:r>
        <w:t xml:space="preserve">        Это основные, но далеко не все ограничения. Регистрация товарного знака действует до истечения 10 лет, считая с даты подачи заявки в Роспатент и продлевается на 10 лет </w:t>
      </w:r>
      <w:r>
        <w:lastRenderedPageBreak/>
        <w:t>неограниченное количество раз. Например, товарный знак «</w:t>
      </w:r>
      <w:proofErr w:type="spellStart"/>
      <w:r>
        <w:rPr>
          <w:color w:val="000000"/>
        </w:rPr>
        <w:t>Coca-Cola</w:t>
      </w:r>
      <w:proofErr w:type="spellEnd"/>
      <w:r>
        <w:t>» зарегистрирован в России в 1924г.</w:t>
      </w:r>
    </w:p>
    <w:p w:rsidR="004C32BE" w:rsidRDefault="004C32BE" w:rsidP="004C32BE">
      <w:pPr>
        <w:pStyle w:val="a4"/>
        <w:tabs>
          <w:tab w:val="left" w:pos="540"/>
        </w:tabs>
        <w:spacing w:before="0" w:beforeAutospacing="0" w:after="0" w:afterAutospacing="0" w:line="360" w:lineRule="auto"/>
        <w:jc w:val="both"/>
      </w:pPr>
      <w:r>
        <w:t xml:space="preserve">         </w:t>
      </w:r>
      <w:proofErr w:type="gramStart"/>
      <w:r>
        <w:rPr>
          <w:b/>
        </w:rPr>
        <w:t xml:space="preserve">Общеизвестный товарный знак </w:t>
      </w:r>
      <w:r>
        <w:t>это</w:t>
      </w:r>
      <w:proofErr w:type="gramEnd"/>
      <w:r>
        <w:t xml:space="preserve"> отнюдь не всенародный товарный знак, как думают многие. У этого знака есть владелец. Общеизвестными могут быть признаны товарные знаки, охраняемый на территории России, если такие знаки в результате их интенсивного использования стали в нашей стране широко известны среди соответствующих потребителей, например, конфеты «Нестле», водка «Русский стандарт».  Общеизвестный знак - вещь штучная. В России их всего несколько десятков. Это при том, что обычных товарных знаков только по мясному 29 классу -более 30 тыс. Правовая охрана общеизвестного товарного знака действует бессрочно.</w:t>
      </w:r>
    </w:p>
    <w:p w:rsidR="004C32BE" w:rsidRDefault="004C32BE" w:rsidP="004C32B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Коллективный товарный знак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обозначения товаров, обладающих общими характеристиками и производимых и (или) реализуемых объединением хозяйствующих субъектов, состав которого может увеличиваться или уменьшаться. Этот знак может быть использован любым предприятием объединения при условии соблюдения им устава товарного знака. В уставе указывается, какие из характеристик продукта должны выдерживаться и каким образом они контролируются. </w:t>
      </w:r>
    </w:p>
    <w:p w:rsidR="004C32BE" w:rsidRDefault="004C32BE" w:rsidP="004C32BE">
      <w:pPr>
        <w:pStyle w:val="a4"/>
        <w:tabs>
          <w:tab w:val="left" w:pos="540"/>
        </w:tabs>
        <w:spacing w:before="0" w:beforeAutospacing="0" w:after="0" w:afterAutospacing="0" w:line="360" w:lineRule="auto"/>
        <w:jc w:val="both"/>
        <w:rPr>
          <w:bCs/>
        </w:rPr>
      </w:pPr>
      <w:r>
        <w:t xml:space="preserve">         </w:t>
      </w:r>
      <w:r>
        <w:rPr>
          <w:b/>
        </w:rPr>
        <w:t>Наименование места происхождения товара</w:t>
      </w:r>
      <w:r>
        <w:t xml:space="preserve"> - это обозначение, содержащее современное или историческое наименование географического объекта или производное от такого наименования,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факторами, например, колбаса «Клинская». Наименование места происхождения товара может быть зарегистрировано одним или несколькими </w:t>
      </w:r>
      <w:proofErr w:type="gramStart"/>
      <w:r>
        <w:t>юридическими</w:t>
      </w:r>
      <w:proofErr w:type="gramEnd"/>
      <w:r>
        <w:t xml:space="preserve"> или физическими лицами. Право пользования этим же наименованием места происхождения товара может быть предоставлено любому юридическому или физическому лицу, которое в границах того же географического объекта производит товар, обладающий теми же основными свойствами. Регистрация наименования места происхождения товара действует бессрочно.</w:t>
      </w:r>
      <w:r>
        <w:rPr>
          <w:bCs/>
        </w:rPr>
        <w:t xml:space="preserve">  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         </w:t>
      </w:r>
      <w:r>
        <w:rPr>
          <w:b/>
        </w:rPr>
        <w:t>Секретом производства</w:t>
      </w:r>
      <w:r>
        <w:t xml:space="preserve"> (ноу-хау) признаются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 </w:t>
      </w:r>
    </w:p>
    <w:p w:rsidR="004C32BE" w:rsidRDefault="004C32BE" w:rsidP="004C32BE">
      <w:pPr>
        <w:pStyle w:val="a4"/>
        <w:tabs>
          <w:tab w:val="left" w:pos="540"/>
        </w:tabs>
        <w:spacing w:before="0" w:beforeAutospacing="0" w:after="0" w:afterAutospacing="0" w:line="360" w:lineRule="auto"/>
        <w:jc w:val="both"/>
      </w:pPr>
      <w:r>
        <w:rPr>
          <w:bCs/>
        </w:rPr>
        <w:lastRenderedPageBreak/>
        <w:t xml:space="preserve">          </w:t>
      </w:r>
      <w:r>
        <w:rPr>
          <w:b/>
        </w:rPr>
        <w:t>Лицензионный договор</w:t>
      </w:r>
      <w:r>
        <w:t xml:space="preserve"> – это соглашение, в соответствии с которым одна сторона (лицензиар) предоставляет другой стороне (лицензиату) разрешение (лицензию) на использование объекта интеллектуальной собственности на условиях, определенных по взаимному согласию сторон с учетом требований действующего законодательства. Лицензия бывает исключительная и неисключительная. Неисключительная</w:t>
      </w:r>
      <w:r>
        <w:rPr>
          <w:i/>
          <w:iCs/>
        </w:rPr>
        <w:t xml:space="preserve"> </w:t>
      </w:r>
      <w:r>
        <w:t>лицензия предусматривает, что в пределах переданных по лицензии прав использовать объект может и лицензиат, и лицензиар (владелец), кроме того, владелец оставляет за собой право выдавать лицензии другим лицам. Исключительная</w:t>
      </w:r>
      <w:r>
        <w:rPr>
          <w:i/>
          <w:iCs/>
        </w:rPr>
        <w:t xml:space="preserve"> </w:t>
      </w:r>
      <w:r>
        <w:t xml:space="preserve">лицензия выдается только одному лицензиару и, в пределах переданных по лицензии прав, не допускается как выдача лицензий на этот же объект другим лицам, так и использование объекта самим владельцем. Обязательные условия лицензионного договора: стороны, предмет договора, территория действия, срок договора, вид лицензии, объем передаваемых прав, порядок расчетов, состав технической документации и объём технической помощи, а также указание на то, что качество товаров лицензиата должно быть не ниже качества товаров лицензиара. Это подразумевает, что последний будет проверять качество этого товара. По договору </w:t>
      </w:r>
      <w:r>
        <w:rPr>
          <w:rStyle w:val="a6"/>
          <w:b w:val="0"/>
        </w:rPr>
        <w:t xml:space="preserve">уступки </w:t>
      </w:r>
      <w:r>
        <w:t xml:space="preserve">владелец прав на объект интеллектуальной собственности безвозвратно и безвременно передает иному лицу </w:t>
      </w:r>
      <w:r>
        <w:rPr>
          <w:rStyle w:val="a6"/>
          <w:b w:val="0"/>
        </w:rPr>
        <w:t xml:space="preserve">(правопреемнику) </w:t>
      </w:r>
      <w:r>
        <w:t>права на объект интеллектуальной собственности.</w:t>
      </w:r>
    </w:p>
    <w:p w:rsidR="004C32BE" w:rsidRDefault="004C32BE" w:rsidP="004C3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допуска к информации об изобретениях, полезных моделях и т.д. и заявок на эти объекты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открытых реестрах Роспатента, надо открыть страницу Роспатента: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http://www.fips.ru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раздела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  <w:r>
        <w:rPr>
          <w:rFonts w:ascii="Times New Roman" w:hAnsi="Times New Roman" w:cs="Times New Roman"/>
          <w:sz w:val="24"/>
          <w:szCs w:val="24"/>
        </w:rPr>
        <w:t xml:space="preserve">» перейти в подраздел </w:t>
      </w:r>
    </w:p>
    <w:p w:rsidR="004C32BE" w:rsidRDefault="004C32BE" w:rsidP="004C3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Открытые реестры</w:t>
      </w:r>
      <w:r>
        <w:rPr>
          <w:rFonts w:ascii="Times New Roman" w:hAnsi="Times New Roman" w:cs="Times New Roman"/>
          <w:sz w:val="24"/>
          <w:szCs w:val="24"/>
        </w:rPr>
        <w:t>». Для чтения документа надо вставить его номер в открывающееся окошко и нажать кнопку «</w:t>
      </w:r>
      <w:r>
        <w:rPr>
          <w:rFonts w:ascii="Times New Roman" w:hAnsi="Times New Roman" w:cs="Times New Roman"/>
          <w:b/>
          <w:sz w:val="24"/>
          <w:szCs w:val="24"/>
        </w:rPr>
        <w:t>Просмотр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bookmarkStart w:id="3" w:name="g8"/>
      <w:bookmarkStart w:id="4" w:name="g9"/>
      <w:bookmarkEnd w:id="3"/>
      <w:bookmarkEnd w:id="4"/>
      <w:r>
        <w:rPr>
          <w:b/>
        </w:rPr>
        <w:t xml:space="preserve">         Под патентными исследованиями понимаются</w:t>
      </w:r>
      <w:r>
        <w:t xml:space="preserve"> исследования, проводимые в процессе создания, освоения и реализации промышленной продукции с целью определения технического уровня, тенденций развития данной области техники.  </w:t>
      </w:r>
    </w:p>
    <w:p w:rsidR="004C32BE" w:rsidRDefault="004C32BE" w:rsidP="004C32BE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</w:pPr>
      <w:r>
        <w:t xml:space="preserve">         Патентные исследования проводятся на основе анализа источников патентной информации с привлечением других видов научно-технической информации в соответствии с </w:t>
      </w:r>
      <w:r>
        <w:rPr>
          <w:b/>
        </w:rPr>
        <w:t>ГОСТ 15.011–96</w:t>
      </w:r>
      <w:r>
        <w:t xml:space="preserve"> «Патентные исследования. Содержание и порядок проведения» и устанавливает единые требования к организации, проведению и оформлению результатов патентных исследований». </w:t>
      </w:r>
    </w:p>
    <w:p w:rsidR="004C32BE" w:rsidRDefault="004C32BE" w:rsidP="004C32BE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/>
        </w:rPr>
        <w:t xml:space="preserve">         </w:t>
      </w:r>
      <w:r>
        <w:t>Патентные исследования позволяют: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 xml:space="preserve">- определить патентоспособность объектов промышленной собственности, создаваемых в процессе разработки новой продукции, и решить вопрос о целесообразности патентования.     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lastRenderedPageBreak/>
        <w:t>- позволяют определить (патентную чистоту) условия беспрепятственной реализации промышленной продукции на рынке конкретной страны или стран и исключить нарушение прав третьих лиц, владеющих патентами, действующими на территории этих стран.</w:t>
      </w:r>
    </w:p>
    <w:p w:rsidR="004C32BE" w:rsidRDefault="004C32BE" w:rsidP="004C32BE">
      <w:pPr>
        <w:pStyle w:val="a4"/>
        <w:spacing w:before="0" w:beforeAutospacing="0" w:after="0" w:afterAutospacing="0" w:line="360" w:lineRule="auto"/>
        <w:jc w:val="both"/>
      </w:pPr>
      <w:r>
        <w:t>- выявить потенциальных конкурентов, определить направления их деятельности и выбрать свою рыночную нишу.</w:t>
      </w:r>
    </w:p>
    <w:p w:rsidR="004C32BE" w:rsidRDefault="004C32BE" w:rsidP="004C3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i152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Международные соглашения. </w:t>
      </w:r>
      <w:r>
        <w:rPr>
          <w:rFonts w:ascii="Times New Roman" w:hAnsi="Times New Roman" w:cs="Times New Roman"/>
          <w:sz w:val="24"/>
          <w:szCs w:val="24"/>
        </w:rPr>
        <w:t xml:space="preserve"> Современное патентное право предусматривает охрану изобретения лишь в случае признания его в национальном патентном ведомстве.  Для расширения границ действия патента и создания льготных условий для патентования объектов промышленной собственности были выработаны и приняты соответствующие основные международные соглашения. </w:t>
      </w:r>
      <w:bookmarkStart w:id="6" w:name="i153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Парижская конвенция </w:t>
      </w:r>
      <w:r>
        <w:rPr>
          <w:rFonts w:ascii="Times New Roman" w:hAnsi="Times New Roman" w:cs="Times New Roman"/>
          <w:sz w:val="24"/>
          <w:szCs w:val="24"/>
        </w:rPr>
        <w:t xml:space="preserve">была принята на Международной конференции, состоявшейся в Париже в марте 1883 года. В настоящее время более ста государств являются участниками Парижской конвенции. Эта конвенция не предусматривает создание единого международного патента, товарного знака или промышленного образца, которые, будучи выданы в одной из стран-участниц этой конвенции, были бы действительны в других странах. Важнейшее положение Парижской конвенции - это предоставление льготного срока – 1 год   для подачи заявки в другую страну-участницу.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 о патентной кооперации (РСТ), </w:t>
      </w:r>
      <w:r>
        <w:rPr>
          <w:rFonts w:ascii="Times New Roman" w:hAnsi="Times New Roman" w:cs="Times New Roman"/>
          <w:sz w:val="24"/>
          <w:szCs w:val="24"/>
        </w:rPr>
        <w:t>многостороннее международное соглашение 1970г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подачу в национальное патентное ведомство единой международной заявки на одном из рабочих языков, включая и русский,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защита изобретения в нескольких странах-участницах РСТ, указываемых в заявке. После проведения поиска в том же ведомстве (у нас в Роспатенте), заявка направляется в любое указанное в ней государство. Проведение этой процедуры позволяет заявителю растянуть время конвенционного приоритета до 3-х лет, менять состав стран патентования или вообще отказаться от патентования до уплаты основных пошлин в национальные ведомства. </w:t>
      </w:r>
      <w:r>
        <w:rPr>
          <w:rFonts w:ascii="Times New Roman" w:hAnsi="Times New Roman" w:cs="Times New Roman"/>
          <w:b/>
          <w:sz w:val="24"/>
          <w:szCs w:val="24"/>
        </w:rPr>
        <w:t>Европейское патентное ведомство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ЕП </w:t>
      </w:r>
      <w:r>
        <w:rPr>
          <w:rFonts w:ascii="Times New Roman" w:hAnsi="Times New Roman" w:cs="Times New Roman"/>
          <w:sz w:val="24"/>
          <w:szCs w:val="24"/>
        </w:rPr>
        <w:t>создано в 1977г.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Мюнхене.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Европатент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одновременно, при уплате соответствующих пошлин, получить защиту в странах, входящих в ЕП. Это Франция, Германия, Италия, Австралия, Швеция, Швейцария, Испания, Великобритания и др. страны.  </w:t>
      </w:r>
      <w:r>
        <w:rPr>
          <w:rFonts w:ascii="Times New Roman" w:hAnsi="Times New Roman" w:cs="Times New Roman"/>
          <w:b/>
          <w:sz w:val="24"/>
          <w:szCs w:val="24"/>
        </w:rPr>
        <w:t>Евразийское патентное ведомство – ЕАПВ</w:t>
      </w:r>
      <w:r>
        <w:rPr>
          <w:rFonts w:ascii="Times New Roman" w:hAnsi="Times New Roman" w:cs="Times New Roman"/>
          <w:sz w:val="24"/>
          <w:szCs w:val="24"/>
        </w:rPr>
        <w:t xml:space="preserve"> создано в Москве в 1995г. В него вошли некоторые страны бывшего СССР.</w:t>
      </w:r>
    </w:p>
    <w:sectPr w:rsidR="004C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83"/>
    <w:rsid w:val="00005FB1"/>
    <w:rsid w:val="0001375C"/>
    <w:rsid w:val="000144D7"/>
    <w:rsid w:val="000150F6"/>
    <w:rsid w:val="00020843"/>
    <w:rsid w:val="000222A1"/>
    <w:rsid w:val="00023357"/>
    <w:rsid w:val="00023AFD"/>
    <w:rsid w:val="00024269"/>
    <w:rsid w:val="00024379"/>
    <w:rsid w:val="00026008"/>
    <w:rsid w:val="000262CA"/>
    <w:rsid w:val="00031D19"/>
    <w:rsid w:val="00032C5E"/>
    <w:rsid w:val="00041A8C"/>
    <w:rsid w:val="000442C7"/>
    <w:rsid w:val="00044633"/>
    <w:rsid w:val="000474C6"/>
    <w:rsid w:val="00047511"/>
    <w:rsid w:val="00047D32"/>
    <w:rsid w:val="00050DD7"/>
    <w:rsid w:val="000527D0"/>
    <w:rsid w:val="00055953"/>
    <w:rsid w:val="0005654D"/>
    <w:rsid w:val="0006093A"/>
    <w:rsid w:val="00063284"/>
    <w:rsid w:val="00063B9C"/>
    <w:rsid w:val="0006482A"/>
    <w:rsid w:val="000657AF"/>
    <w:rsid w:val="000661FF"/>
    <w:rsid w:val="000713A5"/>
    <w:rsid w:val="00072880"/>
    <w:rsid w:val="00073A24"/>
    <w:rsid w:val="0008174E"/>
    <w:rsid w:val="0008295F"/>
    <w:rsid w:val="00086071"/>
    <w:rsid w:val="00086B6A"/>
    <w:rsid w:val="0008724D"/>
    <w:rsid w:val="000945AF"/>
    <w:rsid w:val="00095352"/>
    <w:rsid w:val="000A1991"/>
    <w:rsid w:val="000A5871"/>
    <w:rsid w:val="000B27C1"/>
    <w:rsid w:val="000B487B"/>
    <w:rsid w:val="000B4FD3"/>
    <w:rsid w:val="000C19E8"/>
    <w:rsid w:val="000C40D7"/>
    <w:rsid w:val="000D0A38"/>
    <w:rsid w:val="000D37D1"/>
    <w:rsid w:val="000D454F"/>
    <w:rsid w:val="000D73AE"/>
    <w:rsid w:val="000E0366"/>
    <w:rsid w:val="000E1088"/>
    <w:rsid w:val="000E1AED"/>
    <w:rsid w:val="000F02C9"/>
    <w:rsid w:val="000F1997"/>
    <w:rsid w:val="000F1A8F"/>
    <w:rsid w:val="000F1EB5"/>
    <w:rsid w:val="000F3D94"/>
    <w:rsid w:val="001011E1"/>
    <w:rsid w:val="0010170E"/>
    <w:rsid w:val="00101DE2"/>
    <w:rsid w:val="00103EFE"/>
    <w:rsid w:val="00105C5F"/>
    <w:rsid w:val="0010680F"/>
    <w:rsid w:val="001071D4"/>
    <w:rsid w:val="001071EF"/>
    <w:rsid w:val="00107C4D"/>
    <w:rsid w:val="00110B48"/>
    <w:rsid w:val="001125AE"/>
    <w:rsid w:val="00112DBD"/>
    <w:rsid w:val="00112FC1"/>
    <w:rsid w:val="001165C9"/>
    <w:rsid w:val="00125030"/>
    <w:rsid w:val="001253B7"/>
    <w:rsid w:val="0012706B"/>
    <w:rsid w:val="00127D12"/>
    <w:rsid w:val="00127F02"/>
    <w:rsid w:val="001359F8"/>
    <w:rsid w:val="00137218"/>
    <w:rsid w:val="001373CB"/>
    <w:rsid w:val="001378A2"/>
    <w:rsid w:val="00143C03"/>
    <w:rsid w:val="00143FD0"/>
    <w:rsid w:val="00144A12"/>
    <w:rsid w:val="00147125"/>
    <w:rsid w:val="00151681"/>
    <w:rsid w:val="00153383"/>
    <w:rsid w:val="00160037"/>
    <w:rsid w:val="00163DDE"/>
    <w:rsid w:val="00165D86"/>
    <w:rsid w:val="00166ED0"/>
    <w:rsid w:val="0017174B"/>
    <w:rsid w:val="00171F6C"/>
    <w:rsid w:val="001747A1"/>
    <w:rsid w:val="00177BEF"/>
    <w:rsid w:val="00180276"/>
    <w:rsid w:val="00180861"/>
    <w:rsid w:val="0018333D"/>
    <w:rsid w:val="001854F6"/>
    <w:rsid w:val="001869F3"/>
    <w:rsid w:val="00197194"/>
    <w:rsid w:val="001A1551"/>
    <w:rsid w:val="001A3E8A"/>
    <w:rsid w:val="001A43E3"/>
    <w:rsid w:val="001A501B"/>
    <w:rsid w:val="001A7956"/>
    <w:rsid w:val="001B31FF"/>
    <w:rsid w:val="001B4D45"/>
    <w:rsid w:val="001B6B1B"/>
    <w:rsid w:val="001C2291"/>
    <w:rsid w:val="001C3713"/>
    <w:rsid w:val="001C3812"/>
    <w:rsid w:val="001C4869"/>
    <w:rsid w:val="001C5ED4"/>
    <w:rsid w:val="001C72EF"/>
    <w:rsid w:val="001D0CC5"/>
    <w:rsid w:val="001D18B3"/>
    <w:rsid w:val="001D218F"/>
    <w:rsid w:val="001D6537"/>
    <w:rsid w:val="001D7074"/>
    <w:rsid w:val="001E321F"/>
    <w:rsid w:val="001E420F"/>
    <w:rsid w:val="001F034B"/>
    <w:rsid w:val="001F2CA9"/>
    <w:rsid w:val="001F7AA6"/>
    <w:rsid w:val="002016B9"/>
    <w:rsid w:val="002017EC"/>
    <w:rsid w:val="00204A46"/>
    <w:rsid w:val="00206028"/>
    <w:rsid w:val="00206314"/>
    <w:rsid w:val="0020735A"/>
    <w:rsid w:val="00207D04"/>
    <w:rsid w:val="00207DD4"/>
    <w:rsid w:val="002149E9"/>
    <w:rsid w:val="00217392"/>
    <w:rsid w:val="002221C3"/>
    <w:rsid w:val="00223008"/>
    <w:rsid w:val="00227C42"/>
    <w:rsid w:val="00230D17"/>
    <w:rsid w:val="002328D9"/>
    <w:rsid w:val="00234259"/>
    <w:rsid w:val="002355DB"/>
    <w:rsid w:val="00235A08"/>
    <w:rsid w:val="002404AD"/>
    <w:rsid w:val="00247059"/>
    <w:rsid w:val="002470AF"/>
    <w:rsid w:val="00247A16"/>
    <w:rsid w:val="002572C3"/>
    <w:rsid w:val="00257B71"/>
    <w:rsid w:val="00261106"/>
    <w:rsid w:val="00261950"/>
    <w:rsid w:val="002656F1"/>
    <w:rsid w:val="002657DC"/>
    <w:rsid w:val="0027149E"/>
    <w:rsid w:val="002725AD"/>
    <w:rsid w:val="00273F49"/>
    <w:rsid w:val="00274ED7"/>
    <w:rsid w:val="00275165"/>
    <w:rsid w:val="00281627"/>
    <w:rsid w:val="00285024"/>
    <w:rsid w:val="00287721"/>
    <w:rsid w:val="0029036A"/>
    <w:rsid w:val="002915C6"/>
    <w:rsid w:val="00291FA4"/>
    <w:rsid w:val="00292F32"/>
    <w:rsid w:val="0029441C"/>
    <w:rsid w:val="00297212"/>
    <w:rsid w:val="002A1A93"/>
    <w:rsid w:val="002A3960"/>
    <w:rsid w:val="002A409D"/>
    <w:rsid w:val="002A6475"/>
    <w:rsid w:val="002B3AF6"/>
    <w:rsid w:val="002B461C"/>
    <w:rsid w:val="002B5F02"/>
    <w:rsid w:val="002B6465"/>
    <w:rsid w:val="002C0B51"/>
    <w:rsid w:val="002C14AB"/>
    <w:rsid w:val="002C488E"/>
    <w:rsid w:val="002C6511"/>
    <w:rsid w:val="002C66CC"/>
    <w:rsid w:val="002D26A5"/>
    <w:rsid w:val="002D26EB"/>
    <w:rsid w:val="002D322C"/>
    <w:rsid w:val="002D33A9"/>
    <w:rsid w:val="002D456D"/>
    <w:rsid w:val="002D5172"/>
    <w:rsid w:val="002D7639"/>
    <w:rsid w:val="002E0648"/>
    <w:rsid w:val="002E4EE2"/>
    <w:rsid w:val="002F0973"/>
    <w:rsid w:val="002F2157"/>
    <w:rsid w:val="002F4754"/>
    <w:rsid w:val="002F59F7"/>
    <w:rsid w:val="002F6E01"/>
    <w:rsid w:val="003015E2"/>
    <w:rsid w:val="00304262"/>
    <w:rsid w:val="00304B05"/>
    <w:rsid w:val="00310A07"/>
    <w:rsid w:val="00315FB6"/>
    <w:rsid w:val="00316441"/>
    <w:rsid w:val="00317517"/>
    <w:rsid w:val="00321EFB"/>
    <w:rsid w:val="0032293A"/>
    <w:rsid w:val="0032598D"/>
    <w:rsid w:val="00330BCF"/>
    <w:rsid w:val="00333FB7"/>
    <w:rsid w:val="00336CA4"/>
    <w:rsid w:val="00336D90"/>
    <w:rsid w:val="00341161"/>
    <w:rsid w:val="00342234"/>
    <w:rsid w:val="003430FD"/>
    <w:rsid w:val="003516E9"/>
    <w:rsid w:val="00357C22"/>
    <w:rsid w:val="0036083B"/>
    <w:rsid w:val="00364869"/>
    <w:rsid w:val="00364AE5"/>
    <w:rsid w:val="0036670A"/>
    <w:rsid w:val="00373A1B"/>
    <w:rsid w:val="00377C70"/>
    <w:rsid w:val="00377DC7"/>
    <w:rsid w:val="0038227D"/>
    <w:rsid w:val="00383FB7"/>
    <w:rsid w:val="003910DB"/>
    <w:rsid w:val="00391299"/>
    <w:rsid w:val="003919E9"/>
    <w:rsid w:val="00393F46"/>
    <w:rsid w:val="003940BC"/>
    <w:rsid w:val="003946CD"/>
    <w:rsid w:val="0039538D"/>
    <w:rsid w:val="00396555"/>
    <w:rsid w:val="00396641"/>
    <w:rsid w:val="003A054B"/>
    <w:rsid w:val="003A1F34"/>
    <w:rsid w:val="003A40BE"/>
    <w:rsid w:val="003A5F85"/>
    <w:rsid w:val="003A73A4"/>
    <w:rsid w:val="003B4B97"/>
    <w:rsid w:val="003B5D93"/>
    <w:rsid w:val="003C0967"/>
    <w:rsid w:val="003C1102"/>
    <w:rsid w:val="003C2298"/>
    <w:rsid w:val="003C23DC"/>
    <w:rsid w:val="003C36B1"/>
    <w:rsid w:val="003C3DB9"/>
    <w:rsid w:val="003C5940"/>
    <w:rsid w:val="003C5AC8"/>
    <w:rsid w:val="003C6EEC"/>
    <w:rsid w:val="003C7B77"/>
    <w:rsid w:val="003D1431"/>
    <w:rsid w:val="003D41C5"/>
    <w:rsid w:val="003D4EFE"/>
    <w:rsid w:val="003D5560"/>
    <w:rsid w:val="003D5F40"/>
    <w:rsid w:val="003E0504"/>
    <w:rsid w:val="003E29D5"/>
    <w:rsid w:val="003E4514"/>
    <w:rsid w:val="003E64DC"/>
    <w:rsid w:val="003E6E6F"/>
    <w:rsid w:val="003E7DAA"/>
    <w:rsid w:val="003F21D7"/>
    <w:rsid w:val="003F5C77"/>
    <w:rsid w:val="003F7060"/>
    <w:rsid w:val="004016D4"/>
    <w:rsid w:val="00401C16"/>
    <w:rsid w:val="00405480"/>
    <w:rsid w:val="004073E6"/>
    <w:rsid w:val="00407996"/>
    <w:rsid w:val="00410D09"/>
    <w:rsid w:val="00412DED"/>
    <w:rsid w:val="0041459E"/>
    <w:rsid w:val="00415B14"/>
    <w:rsid w:val="00415C49"/>
    <w:rsid w:val="00417823"/>
    <w:rsid w:val="00424687"/>
    <w:rsid w:val="00426E50"/>
    <w:rsid w:val="0043012E"/>
    <w:rsid w:val="0043576E"/>
    <w:rsid w:val="00437F5E"/>
    <w:rsid w:val="004444D5"/>
    <w:rsid w:val="0044567F"/>
    <w:rsid w:val="00447CD7"/>
    <w:rsid w:val="00453ED9"/>
    <w:rsid w:val="004542D8"/>
    <w:rsid w:val="004548BD"/>
    <w:rsid w:val="00456E7F"/>
    <w:rsid w:val="004622F1"/>
    <w:rsid w:val="00463161"/>
    <w:rsid w:val="0047137C"/>
    <w:rsid w:val="00471387"/>
    <w:rsid w:val="00471C6A"/>
    <w:rsid w:val="004755DF"/>
    <w:rsid w:val="00480B11"/>
    <w:rsid w:val="00480E9B"/>
    <w:rsid w:val="004817B1"/>
    <w:rsid w:val="004830B2"/>
    <w:rsid w:val="00483E26"/>
    <w:rsid w:val="004847BD"/>
    <w:rsid w:val="0048532A"/>
    <w:rsid w:val="0048787B"/>
    <w:rsid w:val="0049075B"/>
    <w:rsid w:val="004908B7"/>
    <w:rsid w:val="00490AD6"/>
    <w:rsid w:val="00491967"/>
    <w:rsid w:val="004919A5"/>
    <w:rsid w:val="004921F3"/>
    <w:rsid w:val="00493E16"/>
    <w:rsid w:val="0049478E"/>
    <w:rsid w:val="004949BF"/>
    <w:rsid w:val="00495717"/>
    <w:rsid w:val="00496134"/>
    <w:rsid w:val="00496B5D"/>
    <w:rsid w:val="004972B5"/>
    <w:rsid w:val="004A13EA"/>
    <w:rsid w:val="004A1BD9"/>
    <w:rsid w:val="004A2ED2"/>
    <w:rsid w:val="004B3844"/>
    <w:rsid w:val="004B4A01"/>
    <w:rsid w:val="004B7623"/>
    <w:rsid w:val="004B7DBD"/>
    <w:rsid w:val="004C24A0"/>
    <w:rsid w:val="004C32BE"/>
    <w:rsid w:val="004C3397"/>
    <w:rsid w:val="004C5290"/>
    <w:rsid w:val="004C583E"/>
    <w:rsid w:val="004C7794"/>
    <w:rsid w:val="004D0A96"/>
    <w:rsid w:val="004D1BF8"/>
    <w:rsid w:val="004D2888"/>
    <w:rsid w:val="004E33CF"/>
    <w:rsid w:val="004E488D"/>
    <w:rsid w:val="004E5025"/>
    <w:rsid w:val="004E5186"/>
    <w:rsid w:val="004E7054"/>
    <w:rsid w:val="004F3428"/>
    <w:rsid w:val="004F3522"/>
    <w:rsid w:val="004F44CD"/>
    <w:rsid w:val="0050113E"/>
    <w:rsid w:val="0050292E"/>
    <w:rsid w:val="00503343"/>
    <w:rsid w:val="00511E3A"/>
    <w:rsid w:val="00512F12"/>
    <w:rsid w:val="0051406E"/>
    <w:rsid w:val="005143B2"/>
    <w:rsid w:val="00515648"/>
    <w:rsid w:val="00515E04"/>
    <w:rsid w:val="00517479"/>
    <w:rsid w:val="00522758"/>
    <w:rsid w:val="005233A3"/>
    <w:rsid w:val="0052483E"/>
    <w:rsid w:val="00525D91"/>
    <w:rsid w:val="00527115"/>
    <w:rsid w:val="00527F4A"/>
    <w:rsid w:val="00531A0F"/>
    <w:rsid w:val="0053214D"/>
    <w:rsid w:val="00533D04"/>
    <w:rsid w:val="00535593"/>
    <w:rsid w:val="005419FE"/>
    <w:rsid w:val="00544080"/>
    <w:rsid w:val="00544575"/>
    <w:rsid w:val="00553009"/>
    <w:rsid w:val="00553881"/>
    <w:rsid w:val="005544A4"/>
    <w:rsid w:val="00554B4F"/>
    <w:rsid w:val="00555141"/>
    <w:rsid w:val="005625F6"/>
    <w:rsid w:val="00566607"/>
    <w:rsid w:val="005726F3"/>
    <w:rsid w:val="005727B0"/>
    <w:rsid w:val="00576ECD"/>
    <w:rsid w:val="00580652"/>
    <w:rsid w:val="00581791"/>
    <w:rsid w:val="0058186D"/>
    <w:rsid w:val="005829FB"/>
    <w:rsid w:val="00582D77"/>
    <w:rsid w:val="00587F9D"/>
    <w:rsid w:val="0059578F"/>
    <w:rsid w:val="0059655E"/>
    <w:rsid w:val="00597892"/>
    <w:rsid w:val="005A4F27"/>
    <w:rsid w:val="005A4F64"/>
    <w:rsid w:val="005A5B37"/>
    <w:rsid w:val="005A6055"/>
    <w:rsid w:val="005A639C"/>
    <w:rsid w:val="005A7EFA"/>
    <w:rsid w:val="005B3089"/>
    <w:rsid w:val="005C07A9"/>
    <w:rsid w:val="005C298F"/>
    <w:rsid w:val="005C3696"/>
    <w:rsid w:val="005C5BD8"/>
    <w:rsid w:val="005D0226"/>
    <w:rsid w:val="005D38C3"/>
    <w:rsid w:val="005D3D15"/>
    <w:rsid w:val="005D59C3"/>
    <w:rsid w:val="005E0CF8"/>
    <w:rsid w:val="005E128B"/>
    <w:rsid w:val="005E471B"/>
    <w:rsid w:val="005E475E"/>
    <w:rsid w:val="005E7DDD"/>
    <w:rsid w:val="005F081E"/>
    <w:rsid w:val="005F2BAB"/>
    <w:rsid w:val="005F3A60"/>
    <w:rsid w:val="005F4300"/>
    <w:rsid w:val="005F5639"/>
    <w:rsid w:val="005F668D"/>
    <w:rsid w:val="005F68FC"/>
    <w:rsid w:val="006018AE"/>
    <w:rsid w:val="0060469E"/>
    <w:rsid w:val="00604F81"/>
    <w:rsid w:val="00605900"/>
    <w:rsid w:val="0060599C"/>
    <w:rsid w:val="00607575"/>
    <w:rsid w:val="00607B92"/>
    <w:rsid w:val="00607F1D"/>
    <w:rsid w:val="006108A0"/>
    <w:rsid w:val="00612FE7"/>
    <w:rsid w:val="006138B6"/>
    <w:rsid w:val="00614053"/>
    <w:rsid w:val="006220CF"/>
    <w:rsid w:val="006356AC"/>
    <w:rsid w:val="00640F03"/>
    <w:rsid w:val="006441F7"/>
    <w:rsid w:val="00645CDA"/>
    <w:rsid w:val="00650ED2"/>
    <w:rsid w:val="00651585"/>
    <w:rsid w:val="00651A89"/>
    <w:rsid w:val="00652D89"/>
    <w:rsid w:val="006547EA"/>
    <w:rsid w:val="00667099"/>
    <w:rsid w:val="00672170"/>
    <w:rsid w:val="00672ACE"/>
    <w:rsid w:val="00672C37"/>
    <w:rsid w:val="00672CF4"/>
    <w:rsid w:val="0067517E"/>
    <w:rsid w:val="006757CA"/>
    <w:rsid w:val="0067630D"/>
    <w:rsid w:val="006764D5"/>
    <w:rsid w:val="0068407D"/>
    <w:rsid w:val="00684F68"/>
    <w:rsid w:val="00687298"/>
    <w:rsid w:val="00687348"/>
    <w:rsid w:val="006878FA"/>
    <w:rsid w:val="00687A24"/>
    <w:rsid w:val="00690EF2"/>
    <w:rsid w:val="00691AA3"/>
    <w:rsid w:val="006A036C"/>
    <w:rsid w:val="006A06F8"/>
    <w:rsid w:val="006A12D7"/>
    <w:rsid w:val="006A19A2"/>
    <w:rsid w:val="006A4F90"/>
    <w:rsid w:val="006A5EDF"/>
    <w:rsid w:val="006A60FA"/>
    <w:rsid w:val="006A7971"/>
    <w:rsid w:val="006B178B"/>
    <w:rsid w:val="006B20A3"/>
    <w:rsid w:val="006B4025"/>
    <w:rsid w:val="006B6056"/>
    <w:rsid w:val="006B68AE"/>
    <w:rsid w:val="006B7F50"/>
    <w:rsid w:val="006C6BD3"/>
    <w:rsid w:val="006C7F3E"/>
    <w:rsid w:val="006D3E27"/>
    <w:rsid w:val="006D7E25"/>
    <w:rsid w:val="006E11E0"/>
    <w:rsid w:val="006E17CB"/>
    <w:rsid w:val="006E337F"/>
    <w:rsid w:val="006F0EEB"/>
    <w:rsid w:val="006F4099"/>
    <w:rsid w:val="006F7EBF"/>
    <w:rsid w:val="00702112"/>
    <w:rsid w:val="00714513"/>
    <w:rsid w:val="00714A6C"/>
    <w:rsid w:val="007158AC"/>
    <w:rsid w:val="00715FAE"/>
    <w:rsid w:val="00725430"/>
    <w:rsid w:val="0072709E"/>
    <w:rsid w:val="0072756E"/>
    <w:rsid w:val="00732683"/>
    <w:rsid w:val="00732DDE"/>
    <w:rsid w:val="007331F0"/>
    <w:rsid w:val="00733D66"/>
    <w:rsid w:val="00735072"/>
    <w:rsid w:val="007352DA"/>
    <w:rsid w:val="00737872"/>
    <w:rsid w:val="00737D78"/>
    <w:rsid w:val="0074238E"/>
    <w:rsid w:val="00742F46"/>
    <w:rsid w:val="007454CF"/>
    <w:rsid w:val="007460E9"/>
    <w:rsid w:val="007515DA"/>
    <w:rsid w:val="0075700D"/>
    <w:rsid w:val="00760684"/>
    <w:rsid w:val="0076142E"/>
    <w:rsid w:val="00762AE1"/>
    <w:rsid w:val="0076399F"/>
    <w:rsid w:val="00763CF4"/>
    <w:rsid w:val="007641BC"/>
    <w:rsid w:val="00764FD5"/>
    <w:rsid w:val="007652BA"/>
    <w:rsid w:val="00767BA5"/>
    <w:rsid w:val="007765DA"/>
    <w:rsid w:val="00783A4B"/>
    <w:rsid w:val="007844B0"/>
    <w:rsid w:val="00784FF6"/>
    <w:rsid w:val="007871C9"/>
    <w:rsid w:val="007918BA"/>
    <w:rsid w:val="00793507"/>
    <w:rsid w:val="0079377E"/>
    <w:rsid w:val="00795DDF"/>
    <w:rsid w:val="007A05A0"/>
    <w:rsid w:val="007A1AD2"/>
    <w:rsid w:val="007A1D0A"/>
    <w:rsid w:val="007A3795"/>
    <w:rsid w:val="007A3955"/>
    <w:rsid w:val="007A3958"/>
    <w:rsid w:val="007A5700"/>
    <w:rsid w:val="007A7A2E"/>
    <w:rsid w:val="007A7EA4"/>
    <w:rsid w:val="007B1CE0"/>
    <w:rsid w:val="007B395A"/>
    <w:rsid w:val="007B3E31"/>
    <w:rsid w:val="007B40E4"/>
    <w:rsid w:val="007B47E8"/>
    <w:rsid w:val="007B4AEC"/>
    <w:rsid w:val="007C0662"/>
    <w:rsid w:val="007C44CB"/>
    <w:rsid w:val="007C46A2"/>
    <w:rsid w:val="007C512B"/>
    <w:rsid w:val="007C6DB3"/>
    <w:rsid w:val="007D34FE"/>
    <w:rsid w:val="007E159E"/>
    <w:rsid w:val="007E17A4"/>
    <w:rsid w:val="007E1E9D"/>
    <w:rsid w:val="007E6066"/>
    <w:rsid w:val="007E66FF"/>
    <w:rsid w:val="007E71A0"/>
    <w:rsid w:val="007E7465"/>
    <w:rsid w:val="007E74C4"/>
    <w:rsid w:val="007F11B3"/>
    <w:rsid w:val="007F5C15"/>
    <w:rsid w:val="008020C0"/>
    <w:rsid w:val="00803B81"/>
    <w:rsid w:val="008043BB"/>
    <w:rsid w:val="008078F0"/>
    <w:rsid w:val="0081105B"/>
    <w:rsid w:val="0081142E"/>
    <w:rsid w:val="0081149D"/>
    <w:rsid w:val="00811961"/>
    <w:rsid w:val="00812F3D"/>
    <w:rsid w:val="00812FC9"/>
    <w:rsid w:val="0081345E"/>
    <w:rsid w:val="00813D83"/>
    <w:rsid w:val="00813E35"/>
    <w:rsid w:val="00814461"/>
    <w:rsid w:val="00816A66"/>
    <w:rsid w:val="008176F6"/>
    <w:rsid w:val="00820DC4"/>
    <w:rsid w:val="008215A6"/>
    <w:rsid w:val="00822CFF"/>
    <w:rsid w:val="00822EBD"/>
    <w:rsid w:val="008239AD"/>
    <w:rsid w:val="00832C78"/>
    <w:rsid w:val="00832D3F"/>
    <w:rsid w:val="008333FA"/>
    <w:rsid w:val="00833471"/>
    <w:rsid w:val="00833474"/>
    <w:rsid w:val="008352F3"/>
    <w:rsid w:val="00835AE8"/>
    <w:rsid w:val="00836359"/>
    <w:rsid w:val="0084454E"/>
    <w:rsid w:val="00847AF0"/>
    <w:rsid w:val="00853F56"/>
    <w:rsid w:val="00856717"/>
    <w:rsid w:val="008574DF"/>
    <w:rsid w:val="00862ACF"/>
    <w:rsid w:val="0086336D"/>
    <w:rsid w:val="00863A64"/>
    <w:rsid w:val="00863AE9"/>
    <w:rsid w:val="00866786"/>
    <w:rsid w:val="008671B1"/>
    <w:rsid w:val="00871750"/>
    <w:rsid w:val="0087406A"/>
    <w:rsid w:val="0087510B"/>
    <w:rsid w:val="00876017"/>
    <w:rsid w:val="0088108C"/>
    <w:rsid w:val="008811E3"/>
    <w:rsid w:val="008823D0"/>
    <w:rsid w:val="00886611"/>
    <w:rsid w:val="008921CB"/>
    <w:rsid w:val="008961E0"/>
    <w:rsid w:val="00896411"/>
    <w:rsid w:val="008969B4"/>
    <w:rsid w:val="00897608"/>
    <w:rsid w:val="00897E00"/>
    <w:rsid w:val="008A2F6C"/>
    <w:rsid w:val="008A309D"/>
    <w:rsid w:val="008A4F64"/>
    <w:rsid w:val="008B2EB7"/>
    <w:rsid w:val="008B3F9C"/>
    <w:rsid w:val="008C2B89"/>
    <w:rsid w:val="008C2CAC"/>
    <w:rsid w:val="008C4181"/>
    <w:rsid w:val="008C528B"/>
    <w:rsid w:val="008C60F2"/>
    <w:rsid w:val="008D0C3F"/>
    <w:rsid w:val="008D398C"/>
    <w:rsid w:val="008D7602"/>
    <w:rsid w:val="008E349F"/>
    <w:rsid w:val="008E55B2"/>
    <w:rsid w:val="008E6583"/>
    <w:rsid w:val="008F1F0D"/>
    <w:rsid w:val="008F399A"/>
    <w:rsid w:val="008F4281"/>
    <w:rsid w:val="00900466"/>
    <w:rsid w:val="00901DF4"/>
    <w:rsid w:val="0090223E"/>
    <w:rsid w:val="0090311D"/>
    <w:rsid w:val="00905910"/>
    <w:rsid w:val="00906320"/>
    <w:rsid w:val="0091037F"/>
    <w:rsid w:val="00910F5C"/>
    <w:rsid w:val="009110C0"/>
    <w:rsid w:val="00911DA9"/>
    <w:rsid w:val="00912FEB"/>
    <w:rsid w:val="00920505"/>
    <w:rsid w:val="009208D1"/>
    <w:rsid w:val="00920A3B"/>
    <w:rsid w:val="00921236"/>
    <w:rsid w:val="00921949"/>
    <w:rsid w:val="00925F5A"/>
    <w:rsid w:val="009278E0"/>
    <w:rsid w:val="00935382"/>
    <w:rsid w:val="00937EC8"/>
    <w:rsid w:val="00941404"/>
    <w:rsid w:val="00944E60"/>
    <w:rsid w:val="00946D92"/>
    <w:rsid w:val="00947B9C"/>
    <w:rsid w:val="0095265C"/>
    <w:rsid w:val="00953C60"/>
    <w:rsid w:val="00956EAB"/>
    <w:rsid w:val="009608DB"/>
    <w:rsid w:val="0096139B"/>
    <w:rsid w:val="0096198C"/>
    <w:rsid w:val="009655E3"/>
    <w:rsid w:val="00971EB2"/>
    <w:rsid w:val="00971FA1"/>
    <w:rsid w:val="009728FE"/>
    <w:rsid w:val="009773E0"/>
    <w:rsid w:val="00980A6F"/>
    <w:rsid w:val="00985E09"/>
    <w:rsid w:val="009877F6"/>
    <w:rsid w:val="00990EC7"/>
    <w:rsid w:val="00991A18"/>
    <w:rsid w:val="0099258C"/>
    <w:rsid w:val="00995090"/>
    <w:rsid w:val="009A1555"/>
    <w:rsid w:val="009A29FE"/>
    <w:rsid w:val="009A375D"/>
    <w:rsid w:val="009A405A"/>
    <w:rsid w:val="009A43A1"/>
    <w:rsid w:val="009B0851"/>
    <w:rsid w:val="009B161F"/>
    <w:rsid w:val="009B195C"/>
    <w:rsid w:val="009B445E"/>
    <w:rsid w:val="009B5558"/>
    <w:rsid w:val="009B5F87"/>
    <w:rsid w:val="009C617C"/>
    <w:rsid w:val="009D097A"/>
    <w:rsid w:val="009D127E"/>
    <w:rsid w:val="009D277C"/>
    <w:rsid w:val="009D337B"/>
    <w:rsid w:val="009D53BD"/>
    <w:rsid w:val="009D57C6"/>
    <w:rsid w:val="009D7DDD"/>
    <w:rsid w:val="009E11E3"/>
    <w:rsid w:val="009E2535"/>
    <w:rsid w:val="009E26C6"/>
    <w:rsid w:val="009E2889"/>
    <w:rsid w:val="009E5EAE"/>
    <w:rsid w:val="009F2A30"/>
    <w:rsid w:val="009F3FA6"/>
    <w:rsid w:val="009F43CB"/>
    <w:rsid w:val="009F6864"/>
    <w:rsid w:val="009F7004"/>
    <w:rsid w:val="009F76C4"/>
    <w:rsid w:val="00A054D5"/>
    <w:rsid w:val="00A11ABD"/>
    <w:rsid w:val="00A12631"/>
    <w:rsid w:val="00A161A8"/>
    <w:rsid w:val="00A17002"/>
    <w:rsid w:val="00A17F32"/>
    <w:rsid w:val="00A20EFE"/>
    <w:rsid w:val="00A20FC5"/>
    <w:rsid w:val="00A21263"/>
    <w:rsid w:val="00A25690"/>
    <w:rsid w:val="00A25D0E"/>
    <w:rsid w:val="00A30FEA"/>
    <w:rsid w:val="00A3180A"/>
    <w:rsid w:val="00A32016"/>
    <w:rsid w:val="00A32F10"/>
    <w:rsid w:val="00A3558B"/>
    <w:rsid w:val="00A355BA"/>
    <w:rsid w:val="00A36558"/>
    <w:rsid w:val="00A36995"/>
    <w:rsid w:val="00A37193"/>
    <w:rsid w:val="00A40B7C"/>
    <w:rsid w:val="00A40E90"/>
    <w:rsid w:val="00A430E4"/>
    <w:rsid w:val="00A449DC"/>
    <w:rsid w:val="00A46E29"/>
    <w:rsid w:val="00A475C4"/>
    <w:rsid w:val="00A540E8"/>
    <w:rsid w:val="00A55B13"/>
    <w:rsid w:val="00A56F68"/>
    <w:rsid w:val="00A57516"/>
    <w:rsid w:val="00A57D05"/>
    <w:rsid w:val="00A61009"/>
    <w:rsid w:val="00A64453"/>
    <w:rsid w:val="00A65642"/>
    <w:rsid w:val="00A75DE6"/>
    <w:rsid w:val="00A80212"/>
    <w:rsid w:val="00A84FC4"/>
    <w:rsid w:val="00A8539E"/>
    <w:rsid w:val="00A87CF7"/>
    <w:rsid w:val="00A9544C"/>
    <w:rsid w:val="00A968AE"/>
    <w:rsid w:val="00A9753F"/>
    <w:rsid w:val="00A977F1"/>
    <w:rsid w:val="00AA0D34"/>
    <w:rsid w:val="00AA1A09"/>
    <w:rsid w:val="00AA33F5"/>
    <w:rsid w:val="00AA6971"/>
    <w:rsid w:val="00AA72C9"/>
    <w:rsid w:val="00AB1FF4"/>
    <w:rsid w:val="00AB2C73"/>
    <w:rsid w:val="00AB2E36"/>
    <w:rsid w:val="00AB57B3"/>
    <w:rsid w:val="00AB6326"/>
    <w:rsid w:val="00AC09D6"/>
    <w:rsid w:val="00AC29E0"/>
    <w:rsid w:val="00AC3445"/>
    <w:rsid w:val="00AC400B"/>
    <w:rsid w:val="00AC4C9A"/>
    <w:rsid w:val="00AC5051"/>
    <w:rsid w:val="00AD5446"/>
    <w:rsid w:val="00AD7819"/>
    <w:rsid w:val="00AE17A2"/>
    <w:rsid w:val="00AE42E8"/>
    <w:rsid w:val="00AE4515"/>
    <w:rsid w:val="00AE4D09"/>
    <w:rsid w:val="00AE7229"/>
    <w:rsid w:val="00AF36B3"/>
    <w:rsid w:val="00AF4817"/>
    <w:rsid w:val="00AF4B78"/>
    <w:rsid w:val="00AF64C5"/>
    <w:rsid w:val="00AF7035"/>
    <w:rsid w:val="00B00960"/>
    <w:rsid w:val="00B01828"/>
    <w:rsid w:val="00B03B88"/>
    <w:rsid w:val="00B0552C"/>
    <w:rsid w:val="00B05E7F"/>
    <w:rsid w:val="00B060DF"/>
    <w:rsid w:val="00B06FC5"/>
    <w:rsid w:val="00B0793D"/>
    <w:rsid w:val="00B10439"/>
    <w:rsid w:val="00B17FEE"/>
    <w:rsid w:val="00B204C1"/>
    <w:rsid w:val="00B21ADF"/>
    <w:rsid w:val="00B22082"/>
    <w:rsid w:val="00B23466"/>
    <w:rsid w:val="00B24422"/>
    <w:rsid w:val="00B33E87"/>
    <w:rsid w:val="00B41C4D"/>
    <w:rsid w:val="00B41C79"/>
    <w:rsid w:val="00B459E4"/>
    <w:rsid w:val="00B473D3"/>
    <w:rsid w:val="00B47A6B"/>
    <w:rsid w:val="00B50AE5"/>
    <w:rsid w:val="00B50C59"/>
    <w:rsid w:val="00B51759"/>
    <w:rsid w:val="00B53C81"/>
    <w:rsid w:val="00B55014"/>
    <w:rsid w:val="00B56577"/>
    <w:rsid w:val="00B576DE"/>
    <w:rsid w:val="00B61E3F"/>
    <w:rsid w:val="00B66F98"/>
    <w:rsid w:val="00B70996"/>
    <w:rsid w:val="00B70F0C"/>
    <w:rsid w:val="00B716C5"/>
    <w:rsid w:val="00B726D6"/>
    <w:rsid w:val="00B74A6D"/>
    <w:rsid w:val="00B8205A"/>
    <w:rsid w:val="00B82B43"/>
    <w:rsid w:val="00B83A75"/>
    <w:rsid w:val="00B9676B"/>
    <w:rsid w:val="00B967CF"/>
    <w:rsid w:val="00B9780D"/>
    <w:rsid w:val="00BA080C"/>
    <w:rsid w:val="00BA1517"/>
    <w:rsid w:val="00BA19A6"/>
    <w:rsid w:val="00BA5149"/>
    <w:rsid w:val="00BB12C6"/>
    <w:rsid w:val="00BB750A"/>
    <w:rsid w:val="00BB7E4A"/>
    <w:rsid w:val="00BC0D26"/>
    <w:rsid w:val="00BC26E6"/>
    <w:rsid w:val="00BC549E"/>
    <w:rsid w:val="00BD04E4"/>
    <w:rsid w:val="00BD08B9"/>
    <w:rsid w:val="00BD17D2"/>
    <w:rsid w:val="00BD18D2"/>
    <w:rsid w:val="00BD2540"/>
    <w:rsid w:val="00BD2CCC"/>
    <w:rsid w:val="00BD45B4"/>
    <w:rsid w:val="00BD6949"/>
    <w:rsid w:val="00BD72D9"/>
    <w:rsid w:val="00BE24BC"/>
    <w:rsid w:val="00BE2600"/>
    <w:rsid w:val="00BE3274"/>
    <w:rsid w:val="00BE3EEE"/>
    <w:rsid w:val="00BE53F8"/>
    <w:rsid w:val="00BE7578"/>
    <w:rsid w:val="00BE7A24"/>
    <w:rsid w:val="00BE7D32"/>
    <w:rsid w:val="00BF044C"/>
    <w:rsid w:val="00BF0E31"/>
    <w:rsid w:val="00BF5328"/>
    <w:rsid w:val="00BF7211"/>
    <w:rsid w:val="00C00410"/>
    <w:rsid w:val="00C03FCC"/>
    <w:rsid w:val="00C062ED"/>
    <w:rsid w:val="00C11D01"/>
    <w:rsid w:val="00C12143"/>
    <w:rsid w:val="00C128C2"/>
    <w:rsid w:val="00C12916"/>
    <w:rsid w:val="00C13639"/>
    <w:rsid w:val="00C17935"/>
    <w:rsid w:val="00C209F2"/>
    <w:rsid w:val="00C219FD"/>
    <w:rsid w:val="00C319E4"/>
    <w:rsid w:val="00C37898"/>
    <w:rsid w:val="00C4213B"/>
    <w:rsid w:val="00C43420"/>
    <w:rsid w:val="00C53A2C"/>
    <w:rsid w:val="00C5464A"/>
    <w:rsid w:val="00C61A4C"/>
    <w:rsid w:val="00C643F6"/>
    <w:rsid w:val="00C65EA8"/>
    <w:rsid w:val="00C66CCD"/>
    <w:rsid w:val="00C70466"/>
    <w:rsid w:val="00C70A78"/>
    <w:rsid w:val="00C7150A"/>
    <w:rsid w:val="00C747B5"/>
    <w:rsid w:val="00C75AFF"/>
    <w:rsid w:val="00C807BF"/>
    <w:rsid w:val="00C808D0"/>
    <w:rsid w:val="00C80C0B"/>
    <w:rsid w:val="00C80E55"/>
    <w:rsid w:val="00C811CA"/>
    <w:rsid w:val="00C8283E"/>
    <w:rsid w:val="00C8787E"/>
    <w:rsid w:val="00C906E9"/>
    <w:rsid w:val="00C9233E"/>
    <w:rsid w:val="00C927DA"/>
    <w:rsid w:val="00C93089"/>
    <w:rsid w:val="00C94AF3"/>
    <w:rsid w:val="00C952DB"/>
    <w:rsid w:val="00C95579"/>
    <w:rsid w:val="00C960B1"/>
    <w:rsid w:val="00C975E4"/>
    <w:rsid w:val="00C976D0"/>
    <w:rsid w:val="00CA2D2B"/>
    <w:rsid w:val="00CA645B"/>
    <w:rsid w:val="00CA71D0"/>
    <w:rsid w:val="00CA7329"/>
    <w:rsid w:val="00CB33E2"/>
    <w:rsid w:val="00CB3CA5"/>
    <w:rsid w:val="00CB4DEB"/>
    <w:rsid w:val="00CB5D11"/>
    <w:rsid w:val="00CB5FD4"/>
    <w:rsid w:val="00CC0B1A"/>
    <w:rsid w:val="00CC32B4"/>
    <w:rsid w:val="00CC6BB6"/>
    <w:rsid w:val="00CC7A4D"/>
    <w:rsid w:val="00CE1B48"/>
    <w:rsid w:val="00CE413B"/>
    <w:rsid w:val="00CF0FA2"/>
    <w:rsid w:val="00CF1872"/>
    <w:rsid w:val="00CF37E5"/>
    <w:rsid w:val="00CF6BCD"/>
    <w:rsid w:val="00CF78A9"/>
    <w:rsid w:val="00CF7B56"/>
    <w:rsid w:val="00D00F75"/>
    <w:rsid w:val="00D02656"/>
    <w:rsid w:val="00D035FA"/>
    <w:rsid w:val="00D03B64"/>
    <w:rsid w:val="00D11EBE"/>
    <w:rsid w:val="00D11F1D"/>
    <w:rsid w:val="00D12EFC"/>
    <w:rsid w:val="00D22644"/>
    <w:rsid w:val="00D23446"/>
    <w:rsid w:val="00D26D35"/>
    <w:rsid w:val="00D311E4"/>
    <w:rsid w:val="00D338EE"/>
    <w:rsid w:val="00D352EC"/>
    <w:rsid w:val="00D35C46"/>
    <w:rsid w:val="00D37970"/>
    <w:rsid w:val="00D42552"/>
    <w:rsid w:val="00D45333"/>
    <w:rsid w:val="00D51EE3"/>
    <w:rsid w:val="00D55F66"/>
    <w:rsid w:val="00D616D2"/>
    <w:rsid w:val="00D63D52"/>
    <w:rsid w:val="00D64901"/>
    <w:rsid w:val="00D6547D"/>
    <w:rsid w:val="00D65EB5"/>
    <w:rsid w:val="00D719E6"/>
    <w:rsid w:val="00D74003"/>
    <w:rsid w:val="00D761B6"/>
    <w:rsid w:val="00D76694"/>
    <w:rsid w:val="00D82A62"/>
    <w:rsid w:val="00D82AF6"/>
    <w:rsid w:val="00D92069"/>
    <w:rsid w:val="00D949BB"/>
    <w:rsid w:val="00DA1178"/>
    <w:rsid w:val="00DA2D3A"/>
    <w:rsid w:val="00DA464E"/>
    <w:rsid w:val="00DA50C8"/>
    <w:rsid w:val="00DB0386"/>
    <w:rsid w:val="00DB736A"/>
    <w:rsid w:val="00DC000D"/>
    <w:rsid w:val="00DC2E8C"/>
    <w:rsid w:val="00DC2FEA"/>
    <w:rsid w:val="00DC40CC"/>
    <w:rsid w:val="00DC66A4"/>
    <w:rsid w:val="00DD386A"/>
    <w:rsid w:val="00DE0080"/>
    <w:rsid w:val="00DE2F2D"/>
    <w:rsid w:val="00DE6C21"/>
    <w:rsid w:val="00DE6EA2"/>
    <w:rsid w:val="00DE72FC"/>
    <w:rsid w:val="00DF5174"/>
    <w:rsid w:val="00DF68EF"/>
    <w:rsid w:val="00E012F6"/>
    <w:rsid w:val="00E032A4"/>
    <w:rsid w:val="00E03AA4"/>
    <w:rsid w:val="00E0424C"/>
    <w:rsid w:val="00E119BA"/>
    <w:rsid w:val="00E14E67"/>
    <w:rsid w:val="00E17274"/>
    <w:rsid w:val="00E20C5D"/>
    <w:rsid w:val="00E23315"/>
    <w:rsid w:val="00E26285"/>
    <w:rsid w:val="00E2691A"/>
    <w:rsid w:val="00E30947"/>
    <w:rsid w:val="00E31126"/>
    <w:rsid w:val="00E314FA"/>
    <w:rsid w:val="00E31F1A"/>
    <w:rsid w:val="00E3311E"/>
    <w:rsid w:val="00E35FE5"/>
    <w:rsid w:val="00E378D4"/>
    <w:rsid w:val="00E45A8C"/>
    <w:rsid w:val="00E46D5A"/>
    <w:rsid w:val="00E504C7"/>
    <w:rsid w:val="00E536CA"/>
    <w:rsid w:val="00E53A10"/>
    <w:rsid w:val="00E547EA"/>
    <w:rsid w:val="00E54A4F"/>
    <w:rsid w:val="00E55145"/>
    <w:rsid w:val="00E60650"/>
    <w:rsid w:val="00E60A5A"/>
    <w:rsid w:val="00E60C79"/>
    <w:rsid w:val="00E64B5D"/>
    <w:rsid w:val="00E70B7F"/>
    <w:rsid w:val="00E716A9"/>
    <w:rsid w:val="00E7205B"/>
    <w:rsid w:val="00E73FD3"/>
    <w:rsid w:val="00E76555"/>
    <w:rsid w:val="00E76B1C"/>
    <w:rsid w:val="00E81252"/>
    <w:rsid w:val="00E86FD5"/>
    <w:rsid w:val="00E95B8F"/>
    <w:rsid w:val="00EA2715"/>
    <w:rsid w:val="00EA2741"/>
    <w:rsid w:val="00EA48C6"/>
    <w:rsid w:val="00EA740D"/>
    <w:rsid w:val="00EB19B6"/>
    <w:rsid w:val="00EB3FA6"/>
    <w:rsid w:val="00EB4CE1"/>
    <w:rsid w:val="00EC0ADF"/>
    <w:rsid w:val="00EC189F"/>
    <w:rsid w:val="00EC2556"/>
    <w:rsid w:val="00EC35E8"/>
    <w:rsid w:val="00EC370B"/>
    <w:rsid w:val="00EC4CA5"/>
    <w:rsid w:val="00EC69ED"/>
    <w:rsid w:val="00EC6D15"/>
    <w:rsid w:val="00ED362D"/>
    <w:rsid w:val="00ED3E59"/>
    <w:rsid w:val="00ED76C8"/>
    <w:rsid w:val="00ED7CDC"/>
    <w:rsid w:val="00EE1008"/>
    <w:rsid w:val="00EE3277"/>
    <w:rsid w:val="00EE3526"/>
    <w:rsid w:val="00EE4645"/>
    <w:rsid w:val="00EE4683"/>
    <w:rsid w:val="00EF0877"/>
    <w:rsid w:val="00EF2C9D"/>
    <w:rsid w:val="00EF2D65"/>
    <w:rsid w:val="00EF655F"/>
    <w:rsid w:val="00EF7238"/>
    <w:rsid w:val="00F000D9"/>
    <w:rsid w:val="00F02086"/>
    <w:rsid w:val="00F02606"/>
    <w:rsid w:val="00F06EE2"/>
    <w:rsid w:val="00F071E1"/>
    <w:rsid w:val="00F072E7"/>
    <w:rsid w:val="00F17539"/>
    <w:rsid w:val="00F227A7"/>
    <w:rsid w:val="00F23583"/>
    <w:rsid w:val="00F23DEA"/>
    <w:rsid w:val="00F249C0"/>
    <w:rsid w:val="00F25404"/>
    <w:rsid w:val="00F27C2F"/>
    <w:rsid w:val="00F302EB"/>
    <w:rsid w:val="00F3298D"/>
    <w:rsid w:val="00F32EB6"/>
    <w:rsid w:val="00F34E98"/>
    <w:rsid w:val="00F378F7"/>
    <w:rsid w:val="00F40949"/>
    <w:rsid w:val="00F429B6"/>
    <w:rsid w:val="00F46934"/>
    <w:rsid w:val="00F513B3"/>
    <w:rsid w:val="00F52329"/>
    <w:rsid w:val="00F55FED"/>
    <w:rsid w:val="00F61EFF"/>
    <w:rsid w:val="00F62E35"/>
    <w:rsid w:val="00F64B27"/>
    <w:rsid w:val="00F64F12"/>
    <w:rsid w:val="00F65CD5"/>
    <w:rsid w:val="00F66FAC"/>
    <w:rsid w:val="00F67D28"/>
    <w:rsid w:val="00F715AD"/>
    <w:rsid w:val="00F71868"/>
    <w:rsid w:val="00F724B7"/>
    <w:rsid w:val="00F746D9"/>
    <w:rsid w:val="00F74A7D"/>
    <w:rsid w:val="00F827B3"/>
    <w:rsid w:val="00F85B30"/>
    <w:rsid w:val="00F87174"/>
    <w:rsid w:val="00F91E1F"/>
    <w:rsid w:val="00F93484"/>
    <w:rsid w:val="00F94BA1"/>
    <w:rsid w:val="00F96016"/>
    <w:rsid w:val="00FA1779"/>
    <w:rsid w:val="00FA24B6"/>
    <w:rsid w:val="00FA3F2C"/>
    <w:rsid w:val="00FA6373"/>
    <w:rsid w:val="00FA68F1"/>
    <w:rsid w:val="00FB0D44"/>
    <w:rsid w:val="00FB22C0"/>
    <w:rsid w:val="00FB3993"/>
    <w:rsid w:val="00FB7461"/>
    <w:rsid w:val="00FB7B1E"/>
    <w:rsid w:val="00FC1E77"/>
    <w:rsid w:val="00FC69A4"/>
    <w:rsid w:val="00FD2696"/>
    <w:rsid w:val="00FE1076"/>
    <w:rsid w:val="00FE148A"/>
    <w:rsid w:val="00FE25DA"/>
    <w:rsid w:val="00FE34CC"/>
    <w:rsid w:val="00FF265B"/>
    <w:rsid w:val="00FF3186"/>
    <w:rsid w:val="00FF38D5"/>
    <w:rsid w:val="00FF4573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8F31B-2B30-40B5-AC62-C9749A4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32BE"/>
    <w:rPr>
      <w:color w:val="000000"/>
      <w:u w:val="single"/>
    </w:rPr>
  </w:style>
  <w:style w:type="paragraph" w:styleId="a4">
    <w:name w:val="Normal (Web)"/>
    <w:basedOn w:val="a"/>
    <w:semiHidden/>
    <w:unhideWhenUsed/>
    <w:rsid w:val="004C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C32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C3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4C32BE"/>
    <w:rPr>
      <w:i/>
      <w:iCs/>
    </w:rPr>
  </w:style>
  <w:style w:type="character" w:styleId="a6">
    <w:name w:val="Strong"/>
    <w:basedOn w:val="a0"/>
    <w:qFormat/>
    <w:rsid w:val="004C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s.ru/" TargetMode="External"/><Relationship Id="rId4" Type="http://schemas.openxmlformats.org/officeDocument/2006/relationships/hyperlink" Target="file:///C:\Documents%20and%20Settings\user\&#1056;&#1072;&#1073;&#1086;&#1095;&#1080;&#1081;%20&#1089;&#1090;&#1086;&#1083;\&#1044;&#1080;&#1089;&#1082;&#1077;&#1090;&#1072;\&#1043;&#1083;&#1072;&#1074;&#1072;%202.%20&#1055;&#1088;&#1086;&#1084;&#1099;&#1096;&#1083;&#1077;&#1085;&#1085;&#1072;&#1103;%20&#1089;&#1086;&#1073;&#1089;&#1090;&#1074;&#1077;&#1085;&#1085;&#1086;&#1089;&#1090;&#1100;\te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Надежда</cp:lastModifiedBy>
  <cp:revision>2</cp:revision>
  <dcterms:created xsi:type="dcterms:W3CDTF">2016-10-11T12:13:00Z</dcterms:created>
  <dcterms:modified xsi:type="dcterms:W3CDTF">2016-10-11T12:13:00Z</dcterms:modified>
</cp:coreProperties>
</file>